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line="300"/>
        <w:jc w:val="center"/>
      </w:pPr>
      <w:r>
        <w:rPr>
          <w:rFonts w:ascii="Times New Roman" w:cs="Times New Roman" w:eastAsia="Times New Roman" w:hAnsi="Times New Roman"/>
          <w:b/>
          <w:bCs/>
          <w:sz w:val="24"/>
          <w:szCs w:val="24"/>
        </w:rPr>
        <w:t xml:space="preserve">İŞ KAZASI TESPİT DAVASI CEVAP DİLEKÇESİ</w:t>
      </w:r>
    </w:p>
    <w:p>
      <w:pPr>
        <w:spacing w:after="380" w:before="0" w:line="300"/>
        <w:jc w:val="center"/>
      </w:pPr>
      <w:r>
        <w:rPr>
          <w:rFonts w:ascii="Times New Roman" w:cs="Times New Roman" w:eastAsia="Times New Roman" w:hAnsi="Times New Roman"/>
          <w:b w:val="false"/>
          <w:bCs w:val="false"/>
          <w:sz w:val="20"/>
          <w:szCs w:val="20"/>
        </w:rPr>
        <w:t xml:space="preserve">(Davalı işverenin savunması)</w:t>
      </w:r>
    </w:p>
    <w:p>
      <w:pPr>
        <w:spacing w:after="340" w:before="0" w:line="300"/>
        <w:jc w:val="center"/>
      </w:pPr>
      <w:r>
        <w:rPr>
          <w:rFonts w:ascii="Times New Roman" w:cs="Times New Roman" w:eastAsia="Times New Roman" w:hAnsi="Times New Roman"/>
          <w:b/>
          <w:bCs/>
          <w:sz w:val="24"/>
          <w:szCs w:val="24"/>
        </w:rPr>
        <w:t xml:space="preserve">… İŞ MAHKEMESİ'NE</w:t>
      </w:r>
    </w:p>
    <w:p>
      <w:pPr>
        <w:tabs>
          <w:tab w:val="left" w:pos="4000"/>
        </w:tabs>
        <w:spacing w:after="100" w:line="300"/>
        <w:ind w:left="4200" w:hanging="4200"/>
        <w:jc w:val="both"/>
      </w:pPr>
      <w:r>
        <w:rPr>
          <w:rFonts w:ascii="Times New Roman" w:cs="Times New Roman" w:eastAsia="Times New Roman" w:hAnsi="Times New Roman"/>
          <w:b/>
          <w:bCs/>
          <w:sz w:val="24"/>
          <w:szCs w:val="24"/>
        </w:rPr>
        <w:t xml:space="preserve">DOSYA NO</w:t>
      </w:r>
      <w:r>
        <w:rPr>
          <w:rFonts w:ascii="Times New Roman" w:cs="Times New Roman" w:eastAsia="Times New Roman" w:hAnsi="Times New Roman"/>
          <w:b/>
          <w:bCs/>
          <w:sz w:val="24"/>
          <w:szCs w:val="24"/>
        </w:rPr>
        <w:t xml:space="preserve">	: </w:t>
      </w:r>
      <w:r>
        <w:rPr>
          <w:rFonts w:ascii="Times New Roman" w:cs="Times New Roman" w:eastAsia="Times New Roman" w:hAnsi="Times New Roman"/>
          <w:sz w:val="24"/>
          <w:szCs w:val="24"/>
        </w:rPr>
        <w:t xml:space="preserve">[0000/000] Esas</w:t>
      </w:r>
    </w:p>
    <w:p>
      <w:pPr>
        <w:tabs>
          <w:tab w:val="left" w:pos="4000"/>
        </w:tabs>
        <w:spacing w:after="100" w:line="300"/>
        <w:ind w:left="4200" w:hanging="4200"/>
        <w:jc w:val="both"/>
      </w:pPr>
      <w:r>
        <w:rPr>
          <w:rFonts w:ascii="Times New Roman" w:cs="Times New Roman" w:eastAsia="Times New Roman" w:hAnsi="Times New Roman"/>
          <w:b/>
          <w:bCs/>
          <w:sz w:val="24"/>
          <w:szCs w:val="24"/>
        </w:rPr>
        <w:t xml:space="preserve">CEVAP VEREN (DAVALI)</w:t>
      </w:r>
      <w:r>
        <w:rPr>
          <w:rFonts w:ascii="Times New Roman" w:cs="Times New Roman" w:eastAsia="Times New Roman" w:hAnsi="Times New Roman"/>
          <w:b/>
          <w:bCs/>
          <w:sz w:val="24"/>
          <w:szCs w:val="24"/>
        </w:rPr>
        <w:t xml:space="preserve">	: </w:t>
      </w:r>
      <w:r>
        <w:rPr>
          <w:rFonts w:ascii="Times New Roman" w:cs="Times New Roman" w:eastAsia="Times New Roman" w:hAnsi="Times New Roman"/>
          <w:sz w:val="24"/>
          <w:szCs w:val="24"/>
        </w:rPr>
        <w:t xml:space="preserve">[İşveren unvanı], [vergi numarası]</w:t>
      </w:r>
    </w:p>
    <w:p>
      <w:pPr>
        <w:tabs>
          <w:tab w:val="left" w:pos="4000"/>
        </w:tabs>
        <w:spacing w:after="100" w:line="300"/>
        <w:ind w:left="4200" w:hanging="4200"/>
        <w:jc w:val="both"/>
      </w:pPr>
      <w:r>
        <w:rPr>
          <w:rFonts w:ascii="Times New Roman" w:cs="Times New Roman" w:eastAsia="Times New Roman" w:hAnsi="Times New Roman"/>
          <w:b/>
          <w:bCs/>
          <w:sz w:val="24"/>
          <w:szCs w:val="24"/>
        </w:rPr>
        <w:t xml:space="preserve">ADRESİ</w:t>
      </w:r>
      <w:r>
        <w:rPr>
          <w:rFonts w:ascii="Times New Roman" w:cs="Times New Roman" w:eastAsia="Times New Roman" w:hAnsi="Times New Roman"/>
          <w:b/>
          <w:bCs/>
          <w:sz w:val="24"/>
          <w:szCs w:val="24"/>
        </w:rPr>
        <w:t xml:space="preserve">	: </w:t>
      </w:r>
      <w:r>
        <w:rPr>
          <w:rFonts w:ascii="Times New Roman" w:cs="Times New Roman" w:eastAsia="Times New Roman" w:hAnsi="Times New Roman"/>
          <w:sz w:val="24"/>
          <w:szCs w:val="24"/>
        </w:rPr>
        <w:t xml:space="preserve">[Açık adres]</w:t>
      </w:r>
    </w:p>
    <w:p>
      <w:pPr>
        <w:tabs>
          <w:tab w:val="left" w:pos="4000"/>
        </w:tabs>
        <w:spacing w:after="100" w:line="300"/>
        <w:ind w:left="4200" w:hanging="4200"/>
        <w:jc w:val="both"/>
      </w:pPr>
      <w:r>
        <w:rPr>
          <w:rFonts w:ascii="Times New Roman" w:cs="Times New Roman" w:eastAsia="Times New Roman" w:hAnsi="Times New Roman"/>
          <w:b/>
          <w:bCs/>
          <w:sz w:val="24"/>
          <w:szCs w:val="24"/>
        </w:rPr>
        <w:t xml:space="preserve">VEKİLİ</w:t>
      </w:r>
      <w:r>
        <w:rPr>
          <w:rFonts w:ascii="Times New Roman" w:cs="Times New Roman" w:eastAsia="Times New Roman" w:hAnsi="Times New Roman"/>
          <w:b/>
          <w:bCs/>
          <w:sz w:val="24"/>
          <w:szCs w:val="24"/>
        </w:rPr>
        <w:t xml:space="preserve">	: </w:t>
      </w:r>
      <w:r>
        <w:rPr>
          <w:rFonts w:ascii="Times New Roman" w:cs="Times New Roman" w:eastAsia="Times New Roman" w:hAnsi="Times New Roman"/>
          <w:sz w:val="24"/>
          <w:szCs w:val="24"/>
        </w:rPr>
        <w:t xml:space="preserve">[Boş bırakılacak]</w:t>
      </w:r>
    </w:p>
    <w:p>
      <w:pPr>
        <w:tabs>
          <w:tab w:val="left" w:pos="4000"/>
        </w:tabs>
        <w:spacing w:after="100" w:line="300"/>
        <w:ind w:left="4200" w:hanging="4200"/>
        <w:jc w:val="both"/>
      </w:pPr>
      <w:r>
        <w:rPr>
          <w:rFonts w:ascii="Times New Roman" w:cs="Times New Roman" w:eastAsia="Times New Roman" w:hAnsi="Times New Roman"/>
          <w:b/>
          <w:bCs/>
          <w:sz w:val="24"/>
          <w:szCs w:val="24"/>
        </w:rPr>
        <w:t xml:space="preserve">DAVACI</w:t>
      </w:r>
      <w:r>
        <w:rPr>
          <w:rFonts w:ascii="Times New Roman" w:cs="Times New Roman" w:eastAsia="Times New Roman" w:hAnsi="Times New Roman"/>
          <w:b/>
          <w:bCs/>
          <w:sz w:val="24"/>
          <w:szCs w:val="24"/>
        </w:rPr>
        <w:t xml:space="preserve">	: </w:t>
      </w:r>
      <w:r>
        <w:rPr>
          <w:rFonts w:ascii="Times New Roman" w:cs="Times New Roman" w:eastAsia="Times New Roman" w:hAnsi="Times New Roman"/>
          <w:sz w:val="24"/>
          <w:szCs w:val="24"/>
        </w:rPr>
        <w:t xml:space="preserve">[Ad Soyad], T.C. [00000000000]</w:t>
      </w:r>
    </w:p>
    <w:p>
      <w:pPr>
        <w:tabs>
          <w:tab w:val="left" w:pos="4000"/>
        </w:tabs>
        <w:spacing w:after="100" w:line="300"/>
        <w:ind w:left="4200" w:hanging="4200"/>
        <w:jc w:val="both"/>
      </w:pPr>
      <w:r>
        <w:rPr>
          <w:rFonts w:ascii="Times New Roman" w:cs="Times New Roman" w:eastAsia="Times New Roman" w:hAnsi="Times New Roman"/>
          <w:b/>
          <w:bCs/>
          <w:sz w:val="24"/>
          <w:szCs w:val="24"/>
        </w:rPr>
        <w:t xml:space="preserve">DİĞER DAVALI</w:t>
      </w:r>
      <w:r>
        <w:rPr>
          <w:rFonts w:ascii="Times New Roman" w:cs="Times New Roman" w:eastAsia="Times New Roman" w:hAnsi="Times New Roman"/>
          <w:b/>
          <w:bCs/>
          <w:sz w:val="24"/>
          <w:szCs w:val="24"/>
        </w:rPr>
        <w:t xml:space="preserve">	: </w:t>
      </w:r>
      <w:r>
        <w:rPr>
          <w:rFonts w:ascii="Times New Roman" w:cs="Times New Roman" w:eastAsia="Times New Roman" w:hAnsi="Times New Roman"/>
          <w:sz w:val="24"/>
          <w:szCs w:val="24"/>
        </w:rPr>
        <w:t xml:space="preserve">Sosyal Güvenlik Kurumu Başkanlığı</w:t>
      </w:r>
    </w:p>
    <w:p>
      <w:pPr>
        <w:tabs>
          <w:tab w:val="left" w:pos="4000"/>
        </w:tabs>
        <w:spacing w:after="100" w:line="300"/>
        <w:ind w:left="4200" w:hanging="4200"/>
        <w:jc w:val="both"/>
      </w:pPr>
      <w:r>
        <w:rPr>
          <w:rFonts w:ascii="Times New Roman" w:cs="Times New Roman" w:eastAsia="Times New Roman" w:hAnsi="Times New Roman"/>
          <w:b/>
          <w:bCs/>
          <w:sz w:val="24"/>
          <w:szCs w:val="24"/>
        </w:rPr>
        <w:t xml:space="preserve">TEBLİĞ TARİHİ</w:t>
      </w:r>
      <w:r>
        <w:rPr>
          <w:rFonts w:ascii="Times New Roman" w:cs="Times New Roman" w:eastAsia="Times New Roman" w:hAnsi="Times New Roman"/>
          <w:b/>
          <w:bCs/>
          <w:sz w:val="24"/>
          <w:szCs w:val="24"/>
        </w:rPr>
        <w:t xml:space="preserve">	: </w:t>
      </w:r>
      <w:r>
        <w:rPr>
          <w:rFonts w:ascii="Times New Roman" w:cs="Times New Roman" w:eastAsia="Times New Roman" w:hAnsi="Times New Roman"/>
          <w:sz w:val="24"/>
          <w:szCs w:val="24"/>
        </w:rPr>
        <w:t xml:space="preserve">[gün/ay/yıl]</w:t>
      </w:r>
    </w:p>
    <w:p>
      <w:pPr>
        <w:tabs>
          <w:tab w:val="left" w:pos="4000"/>
        </w:tabs>
        <w:spacing w:after="320" w:line="300"/>
        <w:ind w:left="4200" w:hanging="4200"/>
        <w:jc w:val="both"/>
      </w:pPr>
      <w:r>
        <w:rPr>
          <w:rFonts w:ascii="Times New Roman" w:cs="Times New Roman" w:eastAsia="Times New Roman" w:hAnsi="Times New Roman"/>
          <w:b/>
          <w:bCs/>
          <w:sz w:val="24"/>
          <w:szCs w:val="24"/>
        </w:rPr>
        <w:t xml:space="preserve">KONU</w:t>
      </w:r>
      <w:r>
        <w:rPr>
          <w:rFonts w:ascii="Times New Roman" w:cs="Times New Roman" w:eastAsia="Times New Roman" w:hAnsi="Times New Roman"/>
          <w:b/>
          <w:bCs/>
          <w:sz w:val="24"/>
          <w:szCs w:val="24"/>
        </w:rPr>
        <w:t xml:space="preserve">	: </w:t>
      </w:r>
      <w:r>
        <w:rPr>
          <w:rFonts w:ascii="Times New Roman" w:cs="Times New Roman" w:eastAsia="Times New Roman" w:hAnsi="Times New Roman"/>
          <w:sz w:val="24"/>
          <w:szCs w:val="24"/>
        </w:rPr>
        <w:t xml:space="preserve">Davaya karşı cevaplarımızın ve itirazlarımızın sunulmasıdır.</w:t>
      </w:r>
    </w:p>
    <w:p>
      <w:pPr>
        <w:spacing w:after="150" w:before="180" w:line="300"/>
        <w:jc w:val="both"/>
      </w:pPr>
      <w:r>
        <w:rPr>
          <w:rFonts w:ascii="Times New Roman" w:cs="Times New Roman" w:eastAsia="Times New Roman" w:hAnsi="Times New Roman"/>
          <w:b/>
          <w:bCs/>
          <w:sz w:val="24"/>
          <w:szCs w:val="24"/>
        </w:rPr>
        <w:t xml:space="preserve">AÇIKLAMALAR</w:t>
      </w:r>
    </w:p>
    <w:p>
      <w:pPr>
        <w:pStyle w:val="ListParagraph"/>
        <w:numPr>
          <w:ilvl w:val="0"/>
          <w:numId w:val="2"/>
        </w:numPr>
        <w:spacing w:after="120" w:line="300"/>
        <w:jc w:val="both"/>
      </w:pPr>
      <w:r>
        <w:rPr>
          <w:rFonts w:ascii="Times New Roman" w:cs="Times New Roman" w:eastAsia="Times New Roman" w:hAnsi="Times New Roman"/>
          <w:sz w:val="24"/>
          <w:szCs w:val="24"/>
        </w:rPr>
        <w:t xml:space="preserve">Dava dilekçesi müvekkile [tebliğ tarihi] tarihinde tebliğ edilmiş olup cevaplarımız iki haftalık kanuni süre içinde sunulmaktadır (HMK m.317).</w:t>
      </w:r>
    </w:p>
    <w:p>
      <w:pPr>
        <w:pStyle w:val="ListParagraph"/>
        <w:numPr>
          <w:ilvl w:val="0"/>
          <w:numId w:val="2"/>
        </w:numPr>
        <w:spacing w:after="120" w:line="300"/>
        <w:jc w:val="both"/>
      </w:pPr>
      <w:r>
        <w:rPr>
          <w:rFonts w:ascii="Times New Roman" w:cs="Times New Roman" w:eastAsia="Times New Roman" w:hAnsi="Times New Roman"/>
          <w:sz w:val="24"/>
          <w:szCs w:val="24"/>
        </w:rPr>
        <w:t xml:space="preserve">Öncelikle yetki itirazımızı ileri sürüyoruz. Dava, davalının yerleşim yeri ya da işin yapıldığı yer mahkemesinde açılabilir. Müvekkilin merkezi [il/ilçe], işin yapıldığı yer ise [il/ilçe] olup davanın açıldığı mahkeme yetkili değildir. İtirazımız ilk itiraz niteliğinde ve süresinde ileri sürülmektedir (HMK m.116).</w:t>
      </w:r>
    </w:p>
    <w:p>
      <w:pPr>
        <w:pStyle w:val="ListParagraph"/>
        <w:numPr>
          <w:ilvl w:val="0"/>
          <w:numId w:val="2"/>
        </w:numPr>
        <w:spacing w:after="120" w:line="300"/>
        <w:jc w:val="both"/>
      </w:pPr>
      <w:r>
        <w:rPr>
          <w:rFonts w:ascii="Times New Roman" w:cs="Times New Roman" w:eastAsia="Times New Roman" w:hAnsi="Times New Roman"/>
          <w:sz w:val="24"/>
          <w:szCs w:val="24"/>
        </w:rPr>
        <w:t xml:space="preserve">Davacının iddiaları kabul edilmemektedir. Dava dilekçesinde anlatılan olay, iddia edildiği biçimde gerçekleşmemiştir. Aksi ispatlanana kadar tüm iddialar reddedilmektedir.</w:t>
      </w:r>
    </w:p>
    <w:p>
      <w:pPr>
        <w:pStyle w:val="ListParagraph"/>
        <w:numPr>
          <w:ilvl w:val="0"/>
          <w:numId w:val="2"/>
        </w:numPr>
        <w:spacing w:after="120" w:line="300"/>
        <w:jc w:val="both"/>
      </w:pPr>
      <w:r>
        <w:rPr>
          <w:rFonts w:ascii="Times New Roman" w:cs="Times New Roman" w:eastAsia="Times New Roman" w:hAnsi="Times New Roman"/>
          <w:sz w:val="24"/>
          <w:szCs w:val="24"/>
        </w:rPr>
        <w:t xml:space="preserve">Olay iş kazası niteliği taşımamaktadır. [Kaza mesai saatleri dışında meydana gelmiştir / davacı olay anında görevi başında değildi / olay işyeri sınırları dışında gerçekleşmiştir / rahatsızlık kişinin önceden mevcut sağlık durumundan kaynaklanmaktadır]. Kanunda sayılan hâllerden hiçbiri somut olayda gerçekleşmemiştir.</w:t>
      </w:r>
    </w:p>
    <w:p>
      <w:pPr>
        <w:pStyle w:val="ListParagraph"/>
        <w:numPr>
          <w:ilvl w:val="0"/>
          <w:numId w:val="2"/>
        </w:numPr>
        <w:spacing w:after="120" w:line="300"/>
        <w:jc w:val="both"/>
      </w:pPr>
      <w:r>
        <w:rPr>
          <w:rFonts w:ascii="Times New Roman" w:cs="Times New Roman" w:eastAsia="Times New Roman" w:hAnsi="Times New Roman"/>
          <w:sz w:val="24"/>
          <w:szCs w:val="24"/>
        </w:rPr>
        <w:t xml:space="preserve">Olay ile iddia edilen bedensel zarar arasında nedensellik bağı bulunmamaktadır. Davacının rahatsızlığı [tarih] tarihli sağlık kayıtlarında da görüldüğü üzere olaydan önce mevcuttur. Hastane kayıtlarının tamamının celbini talep ediyoruz.</w:t>
      </w:r>
    </w:p>
    <w:p>
      <w:pPr>
        <w:pStyle w:val="ListParagraph"/>
        <w:numPr>
          <w:ilvl w:val="0"/>
          <w:numId w:val="2"/>
        </w:numPr>
        <w:spacing w:after="120" w:line="300"/>
        <w:jc w:val="both"/>
      </w:pPr>
      <w:r>
        <w:rPr>
          <w:rFonts w:ascii="Times New Roman" w:cs="Times New Roman" w:eastAsia="Times New Roman" w:hAnsi="Times New Roman"/>
          <w:sz w:val="24"/>
          <w:szCs w:val="24"/>
        </w:rPr>
        <w:t xml:space="preserve">Müvekkil iş sağlığı ve güvenliği yükümlülüklerini eksiksiz yerine getirmiştir. Risk değerlendirmesi yapılmış, uzman ve hekim görevlendirmeleri tamamlanmış, davacıya [tarih] tarihinde iş güvenliği eğitimi verilmiş ve koruyucu donanım zimmetle teslim edilmiştir. Eğitim ve zimmet belgeleri dilekçe ekindedir.</w:t>
      </w:r>
    </w:p>
    <w:p>
      <w:pPr>
        <w:pStyle w:val="ListParagraph"/>
        <w:numPr>
          <w:ilvl w:val="0"/>
          <w:numId w:val="2"/>
        </w:numPr>
        <w:spacing w:after="120" w:line="300"/>
        <w:jc w:val="both"/>
      </w:pPr>
      <w:r>
        <w:rPr>
          <w:rFonts w:ascii="Times New Roman" w:cs="Times New Roman" w:eastAsia="Times New Roman" w:hAnsi="Times New Roman"/>
          <w:sz w:val="24"/>
          <w:szCs w:val="24"/>
        </w:rPr>
        <w:t xml:space="preserve">Kabul anlamına gelmemek kaydıyla, olayın iş kazası sayılması hâlinde davacının kendi kusuru gözetilmelidir. Davacı [verilen koruyucu donanımı kullanmamış / talimata aykırı davranmış / kendisine tahsis edilmeyen makineyi çalıştırmıştır]. Kusur oranlarının bilirkişi incelemesiyle ayrı ayrı belirlenmesini talep ediyoruz.</w:t>
      </w:r>
    </w:p>
    <w:p>
      <w:pPr>
        <w:pStyle w:val="ListParagraph"/>
        <w:numPr>
          <w:ilvl w:val="0"/>
          <w:numId w:val="2"/>
        </w:numPr>
        <w:spacing w:after="120" w:line="300"/>
        <w:jc w:val="both"/>
      </w:pPr>
      <w:r>
        <w:rPr>
          <w:rFonts w:ascii="Times New Roman" w:cs="Times New Roman" w:eastAsia="Times New Roman" w:hAnsi="Times New Roman"/>
          <w:sz w:val="24"/>
          <w:szCs w:val="24"/>
        </w:rPr>
        <w:t xml:space="preserve">Sosyal Güvenlik Kurumunun yaptığı tahkikat da müvekkil lehinedir. Kurum, [tarih] tarihli kararıyla olayı iş kazası saymamıştır. Tahkikat dosyasının Kurumdan celbini talep ediyoruz.</w:t>
      </w:r>
    </w:p>
    <w:p>
      <w:pPr>
        <w:pStyle w:val="ListParagraph"/>
        <w:numPr>
          <w:ilvl w:val="0"/>
          <w:numId w:val="2"/>
        </w:numPr>
        <w:spacing w:after="120" w:line="300"/>
        <w:jc w:val="both"/>
      </w:pPr>
      <w:r>
        <w:rPr>
          <w:rFonts w:ascii="Times New Roman" w:cs="Times New Roman" w:eastAsia="Times New Roman" w:hAnsi="Times New Roman"/>
          <w:sz w:val="24"/>
          <w:szCs w:val="24"/>
        </w:rPr>
        <w:t xml:space="preserve">Davacının bildirdiği tanıklar bağımsız değildir. [Tanık adı] davacının [yakını / uzun yıllara dayanan arkadaşı] olup beyanlarının ihtiyatla değerlendirilmesi gerekir. Karşı delil olarak tanıklarımızın dinlenmesini talep ediyoruz.</w:t>
      </w:r>
    </w:p>
    <w:p>
      <w:pPr>
        <w:pStyle w:val="ListParagraph"/>
        <w:numPr>
          <w:ilvl w:val="0"/>
          <w:numId w:val="2"/>
        </w:numPr>
        <w:spacing w:after="120" w:line="300"/>
        <w:jc w:val="both"/>
      </w:pPr>
      <w:r>
        <w:rPr>
          <w:rFonts w:ascii="Times New Roman" w:cs="Times New Roman" w:eastAsia="Times New Roman" w:hAnsi="Times New Roman"/>
          <w:sz w:val="24"/>
          <w:szCs w:val="24"/>
        </w:rPr>
        <w:t xml:space="preserve">Delillerimiz işbu dilekçeyle birlikte sunulmaktadır. Basit yargılama usulünde ikinci cevap dilekçesi verilemediğinden tüm delillerimizi ilk aşamada bildiriyoruz (HMK m.318).</w:t>
      </w:r>
    </w:p>
    <w:p>
      <w:pPr>
        <w:spacing w:after="110" w:before="180" w:line="300"/>
        <w:jc w:val="both"/>
      </w:pPr>
      <w:r>
        <w:rPr>
          <w:rFonts w:ascii="Times New Roman" w:cs="Times New Roman" w:eastAsia="Times New Roman" w:hAnsi="Times New Roman"/>
          <w:b/>
          <w:bCs/>
          <w:sz w:val="24"/>
          <w:szCs w:val="24"/>
        </w:rPr>
        <w:t xml:space="preserve">HUKUKİ NEDENLER</w:t>
      </w:r>
    </w:p>
    <w:p>
      <w:pPr>
        <w:spacing w:after="150" w:before="0" w:line="300"/>
        <w:jc w:val="both"/>
      </w:pPr>
      <w:r>
        <w:rPr>
          <w:rFonts w:ascii="Times New Roman" w:cs="Times New Roman" w:eastAsia="Times New Roman" w:hAnsi="Times New Roman"/>
          <w:b w:val="false"/>
          <w:bCs w:val="false"/>
          <w:sz w:val="24"/>
          <w:szCs w:val="24"/>
        </w:rPr>
        <w:t xml:space="preserve">5510 sayılı Kanun m.13; 6331 sayılı İş Sağlığı ve Güvenliği Kanunu m.4 ve m.19; 4857 sayılı İş Kanunu; 7036 sayılı İş Mahkemeleri Kanunu; 6100 sayılı Hukuk Muhakemeleri Kanunu m.116, m.129, m.317 ve m.318.</w:t>
      </w:r>
    </w:p>
    <w:p>
      <w:pPr>
        <w:spacing w:after="110" w:before="140" w:line="300"/>
        <w:jc w:val="both"/>
      </w:pPr>
      <w:r>
        <w:rPr>
          <w:rFonts w:ascii="Times New Roman" w:cs="Times New Roman" w:eastAsia="Times New Roman" w:hAnsi="Times New Roman"/>
          <w:b/>
          <w:bCs/>
          <w:sz w:val="24"/>
          <w:szCs w:val="24"/>
        </w:rPr>
        <w:t xml:space="preserve">DELİLLER</w:t>
      </w:r>
    </w:p>
    <w:p>
      <w:pPr>
        <w:spacing w:after="150" w:before="0" w:line="300"/>
        <w:jc w:val="both"/>
      </w:pPr>
      <w:r>
        <w:rPr>
          <w:rFonts w:ascii="Times New Roman" w:cs="Times New Roman" w:eastAsia="Times New Roman" w:hAnsi="Times New Roman"/>
          <w:b w:val="false"/>
          <w:bCs w:val="false"/>
          <w:sz w:val="24"/>
          <w:szCs w:val="24"/>
        </w:rPr>
        <w:t xml:space="preserve">Sosyal Güvenlik Kurumu tahkikat dosyası ve kararı, işyeri sicil dosyası, davacıya ait özlük dosyası ve puantaj kayıtları, iş güvenliği eğitim tutanakları ve koruyucu donanım zimmet belgeleri, risk değerlendirme raporu, iş güvenliği uzmanı ve işyeri hekimi görevlendirme belgeleri, işyeri giriş çıkış ve kamera kayıtları, davacıya ait tüm hastane kayıtları, tanık beyanları, keşif ve bilirkişi incelemesi. Tanıklar: [Ad Soyad — adres], [Ad Soyad — adres].</w:t>
      </w:r>
    </w:p>
    <w:p>
      <w:pPr>
        <w:spacing w:after="150" w:before="180" w:line="300"/>
        <w:jc w:val="both"/>
      </w:pPr>
      <w:r>
        <w:rPr>
          <w:rFonts w:ascii="Times New Roman" w:cs="Times New Roman" w:eastAsia="Times New Roman" w:hAnsi="Times New Roman"/>
          <w:b/>
          <w:bCs/>
          <w:sz w:val="24"/>
          <w:szCs w:val="24"/>
        </w:rPr>
        <w:t xml:space="preserve">SONUÇ VE İSTEM</w:t>
      </w:r>
    </w:p>
    <w:p>
      <w:pPr>
        <w:spacing w:after="150" w:before="0" w:line="300"/>
        <w:jc w:val="both"/>
      </w:pPr>
      <w:r>
        <w:rPr>
          <w:rFonts w:ascii="Times New Roman" w:cs="Times New Roman" w:eastAsia="Times New Roman" w:hAnsi="Times New Roman"/>
          <w:b w:val="false"/>
          <w:bCs w:val="false"/>
          <w:sz w:val="24"/>
          <w:szCs w:val="24"/>
        </w:rPr>
        <w:t xml:space="preserve">Yukarıda açıklanan nedenlerle;</w:t>
      </w:r>
    </w:p>
    <w:p>
      <w:pPr>
        <w:pStyle w:val="ListParagraph"/>
        <w:numPr>
          <w:ilvl w:val="0"/>
          <w:numId w:val="3"/>
        </w:numPr>
        <w:spacing w:after="120" w:line="300"/>
        <w:jc w:val="both"/>
      </w:pPr>
      <w:r>
        <w:rPr>
          <w:rFonts w:ascii="Times New Roman" w:cs="Times New Roman" w:eastAsia="Times New Roman" w:hAnsi="Times New Roman"/>
          <w:sz w:val="24"/>
          <w:szCs w:val="24"/>
        </w:rPr>
        <w:t xml:space="preserve">Öncelikle yetki itirazımızın kabulü ile davanın usulden reddine,</w:t>
      </w:r>
    </w:p>
    <w:p>
      <w:pPr>
        <w:pStyle w:val="ListParagraph"/>
        <w:numPr>
          <w:ilvl w:val="0"/>
          <w:numId w:val="3"/>
        </w:numPr>
        <w:spacing w:after="120" w:line="300"/>
        <w:jc w:val="both"/>
      </w:pPr>
      <w:r>
        <w:rPr>
          <w:rFonts w:ascii="Times New Roman" w:cs="Times New Roman" w:eastAsia="Times New Roman" w:hAnsi="Times New Roman"/>
          <w:sz w:val="24"/>
          <w:szCs w:val="24"/>
        </w:rPr>
        <w:t xml:space="preserve">Esasa girilmesi hâlinde davanın esastan reddine,</w:t>
      </w:r>
    </w:p>
    <w:p>
      <w:pPr>
        <w:pStyle w:val="ListParagraph"/>
        <w:numPr>
          <w:ilvl w:val="0"/>
          <w:numId w:val="3"/>
        </w:numPr>
        <w:spacing w:after="120" w:line="300"/>
        <w:jc w:val="both"/>
      </w:pPr>
      <w:r>
        <w:rPr>
          <w:rFonts w:ascii="Times New Roman" w:cs="Times New Roman" w:eastAsia="Times New Roman" w:hAnsi="Times New Roman"/>
          <w:sz w:val="24"/>
          <w:szCs w:val="24"/>
        </w:rPr>
        <w:t xml:space="preserve">Sosyal Güvenlik Kurumu tahkikat dosyası ile davacıya ait tüm sağlık kayıtlarının celbine,</w:t>
      </w:r>
    </w:p>
    <w:p>
      <w:pPr>
        <w:pStyle w:val="ListParagraph"/>
        <w:numPr>
          <w:ilvl w:val="0"/>
          <w:numId w:val="3"/>
        </w:numPr>
        <w:spacing w:after="120" w:line="300"/>
        <w:jc w:val="both"/>
      </w:pPr>
      <w:r>
        <w:rPr>
          <w:rFonts w:ascii="Times New Roman" w:cs="Times New Roman" w:eastAsia="Times New Roman" w:hAnsi="Times New Roman"/>
          <w:sz w:val="24"/>
          <w:szCs w:val="24"/>
        </w:rPr>
        <w:t xml:space="preserve">Aksi kanaatte iseniz kusur dağılımının iş güvenliği uzmanı bilirkişi incelemesiyle belirlenmesine,</w:t>
      </w:r>
    </w:p>
    <w:p>
      <w:pPr>
        <w:pStyle w:val="ListParagraph"/>
        <w:numPr>
          <w:ilvl w:val="0"/>
          <w:numId w:val="3"/>
        </w:numPr>
        <w:spacing w:after="120" w:line="300"/>
        <w:jc w:val="both"/>
      </w:pPr>
      <w:r>
        <w:rPr>
          <w:rFonts w:ascii="Times New Roman" w:cs="Times New Roman" w:eastAsia="Times New Roman" w:hAnsi="Times New Roman"/>
          <w:sz w:val="24"/>
          <w:szCs w:val="24"/>
        </w:rPr>
        <w:t xml:space="preserve">Yargılama giderleri ile vekâlet ücretinin davacıya yükletilmesine,</w:t>
      </w:r>
    </w:p>
    <w:p>
      <w:pPr>
        <w:spacing w:after="380" w:before="150" w:line="300"/>
        <w:jc w:val="both"/>
      </w:pPr>
      <w:r>
        <w:rPr>
          <w:rFonts w:ascii="Times New Roman" w:cs="Times New Roman" w:eastAsia="Times New Roman" w:hAnsi="Times New Roman"/>
          <w:b w:val="false"/>
          <w:bCs w:val="false"/>
          <w:sz w:val="24"/>
          <w:szCs w:val="24"/>
        </w:rPr>
        <w:t xml:space="preserve">karar verilmesini saygılarımızla arz ve talep ederiz. [Tarih]</w:t>
      </w:r>
    </w:p>
    <w:p>
      <w:pPr>
        <w:spacing w:after="60" w:line="300"/>
        <w:jc w:val="right"/>
      </w:pPr>
      <w:r>
        <w:rPr>
          <w:rFonts w:ascii="Times New Roman" w:cs="Times New Roman" w:eastAsia="Times New Roman" w:hAnsi="Times New Roman"/>
          <w:b/>
          <w:bCs/>
          <w:sz w:val="24"/>
          <w:szCs w:val="24"/>
        </w:rPr>
        <w:t xml:space="preserve">Davalı / Vekili</w:t>
      </w:r>
    </w:p>
    <w:p>
      <w:pPr>
        <w:spacing w:after="60" w:line="300"/>
        <w:jc w:val="right"/>
      </w:pPr>
      <w:r>
        <w:rPr>
          <w:rFonts w:ascii="Times New Roman" w:cs="Times New Roman" w:eastAsia="Times New Roman" w:hAnsi="Times New Roman"/>
          <w:sz w:val="24"/>
          <w:szCs w:val="24"/>
        </w:rPr>
        <w:t xml:space="preserve">[Ad Soyad]</w:t>
      </w:r>
    </w:p>
    <w:p>
      <w:pPr>
        <w:spacing w:after="300" w:line="300"/>
        <w:jc w:val="right"/>
      </w:pPr>
      <w:r>
        <w:rPr>
          <w:rFonts w:ascii="Times New Roman" w:cs="Times New Roman" w:eastAsia="Times New Roman" w:hAnsi="Times New Roman"/>
          <w:sz w:val="24"/>
          <w:szCs w:val="24"/>
        </w:rPr>
        <w:t xml:space="preserve">İmza</w:t>
      </w:r>
    </w:p>
    <w:p>
      <w:pPr>
        <w:spacing w:after="90" w:before="0" w:line="300"/>
        <w:jc w:val="both"/>
      </w:pPr>
      <w:r>
        <w:rPr>
          <w:rFonts w:ascii="Times New Roman" w:cs="Times New Roman" w:eastAsia="Times New Roman" w:hAnsi="Times New Roman"/>
          <w:b/>
          <w:bCs/>
          <w:sz w:val="24"/>
          <w:szCs w:val="24"/>
        </w:rPr>
        <w:t xml:space="preserve">EKLER</w:t>
      </w:r>
    </w:p>
    <w:p>
      <w:pPr>
        <w:spacing w:after="40" w:before="0" w:line="300"/>
        <w:jc w:val="left"/>
      </w:pPr>
      <w:r>
        <w:rPr>
          <w:rFonts w:ascii="Times New Roman" w:cs="Times New Roman" w:eastAsia="Times New Roman" w:hAnsi="Times New Roman"/>
          <w:b w:val="false"/>
          <w:bCs w:val="false"/>
          <w:sz w:val="24"/>
          <w:szCs w:val="24"/>
        </w:rPr>
        <w:t xml:space="preserve">1- İşyeri sicil ve özlük dosyası örnekleri.</w:t>
      </w:r>
    </w:p>
    <w:p>
      <w:pPr>
        <w:spacing w:after="40" w:before="0" w:line="300"/>
        <w:jc w:val="left"/>
      </w:pPr>
      <w:r>
        <w:rPr>
          <w:rFonts w:ascii="Times New Roman" w:cs="Times New Roman" w:eastAsia="Times New Roman" w:hAnsi="Times New Roman"/>
          <w:b w:val="false"/>
          <w:bCs w:val="false"/>
          <w:sz w:val="24"/>
          <w:szCs w:val="24"/>
        </w:rPr>
        <w:t xml:space="preserve">2- İş güvenliği eğitim tutanakları.</w:t>
      </w:r>
    </w:p>
    <w:p>
      <w:pPr>
        <w:spacing w:after="40" w:before="0" w:line="300"/>
        <w:jc w:val="left"/>
      </w:pPr>
      <w:r>
        <w:rPr>
          <w:rFonts w:ascii="Times New Roman" w:cs="Times New Roman" w:eastAsia="Times New Roman" w:hAnsi="Times New Roman"/>
          <w:b w:val="false"/>
          <w:bCs w:val="false"/>
          <w:sz w:val="24"/>
          <w:szCs w:val="24"/>
        </w:rPr>
        <w:t xml:space="preserve">3- Koruyucu donanım zimmet belgeleri.</w:t>
      </w:r>
    </w:p>
    <w:p>
      <w:pPr>
        <w:spacing w:after="40" w:before="0" w:line="300"/>
        <w:jc w:val="left"/>
      </w:pPr>
      <w:r>
        <w:rPr>
          <w:rFonts w:ascii="Times New Roman" w:cs="Times New Roman" w:eastAsia="Times New Roman" w:hAnsi="Times New Roman"/>
          <w:b w:val="false"/>
          <w:bCs w:val="false"/>
          <w:sz w:val="24"/>
          <w:szCs w:val="24"/>
        </w:rPr>
        <w:t xml:space="preserve">4- Risk değerlendirme raporu.</w:t>
      </w:r>
    </w:p>
    <w:p>
      <w:pPr>
        <w:spacing w:after="40" w:before="0" w:line="300"/>
        <w:jc w:val="left"/>
      </w:pPr>
      <w:r>
        <w:rPr>
          <w:rFonts w:ascii="Times New Roman" w:cs="Times New Roman" w:eastAsia="Times New Roman" w:hAnsi="Times New Roman"/>
          <w:b w:val="false"/>
          <w:bCs w:val="false"/>
          <w:sz w:val="24"/>
          <w:szCs w:val="24"/>
        </w:rPr>
        <w:t xml:space="preserve">5- Puantaj ve giriş çıkış kayıtları.</w:t>
      </w:r>
    </w:p>
    <w:p>
      <w:pPr>
        <w:spacing w:after="40" w:before="0" w:line="300"/>
        <w:jc w:val="left"/>
      </w:pPr>
      <w:r>
        <w:rPr>
          <w:rFonts w:ascii="Times New Roman" w:cs="Times New Roman" w:eastAsia="Times New Roman" w:hAnsi="Times New Roman"/>
          <w:b w:val="false"/>
          <w:bCs w:val="false"/>
          <w:sz w:val="24"/>
          <w:szCs w:val="24"/>
        </w:rPr>
        <w:t xml:space="preserve">6- Tanık listesi.</w:t>
      </w:r>
    </w:p>
    <w:sectPr>
      <w:footerReference w:type="default" r:id="rId7"/>
      <w:pgSz w:w="11906" w:h="16838" w:orient="portrait"/>
      <w:pgMar w:top="1440" w:right="1584" w:bottom="1440" w:left="158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6" w:space="6"/>
      </w:pBdr>
      <w:spacing w:after="60"/>
    </w:pPr>
    <w:r>
      <w:rPr>
        <w:rFonts w:ascii="Times New Roman" w:cs="Times New Roman" w:eastAsia="Times New Roman" w:hAnsi="Times New Roman"/>
        <w:sz w:val="2"/>
        <w:szCs w:val="2"/>
      </w:rPr>
      <w:t xml:space="preserve"/>
    </w:r>
  </w:p>
  <w:p>
    <w:pPr>
      <w:jc w:val="center"/>
    </w:pPr>
    <w:hyperlink w:history="1" r:id="rIdl3gpirg4blfokg2kufd2l">
      <w:r>
        <w:rPr>
          <w:rFonts w:ascii="Times New Roman" w:cs="Times New Roman" w:eastAsia="Times New Roman" w:hAnsi="Times New Roman"/>
          <w:color w:val="595959"/>
          <w:sz w:val="17"/>
          <w:szCs w:val="17"/>
        </w:rPr>
        <w:t xml:space="preserve">Çözüm Hukuk Bürosu</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480" w:hanging="360"/>
      </w:pPr>
    </w:lvl>
  </w:abstractNum>
  <w:abstractNum w:abstractNumId="3" w15:restartNumberingAfterBreak="0">
    <w:multiLevelType w:val="hybridMultilevel"/>
    <w:lvl w:ilvl="0" w15:tentative="1">
      <w:start w:val="1"/>
      <w:numFmt w:val="decimal"/>
      <w:lvlText w:val="%1."/>
      <w:lvlJc w:val="left"/>
      <w:pPr>
        <w:ind w:left="48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2026-09-08T12:35:30.991Z</dcterms:created>
  <dcterms:modified xsi:type="dcterms:W3CDTF">2026-09-08T12:35:30.991Z</dcterms:modified>
</cp:coreProperties>
</file>

<file path=docProps/custom.xml><?xml version="1.0" encoding="utf-8"?>
<Properties xmlns="http://schemas.openxmlformats.org/officeDocument/2006/custom-properties" xmlns:vt="http://schemas.openxmlformats.org/officeDocument/2006/docPropsVTypes"/>
</file>